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DF" w:rsidRPr="00BD54DF" w:rsidRDefault="00BD54DF" w:rsidP="00BD54D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D54D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BD54DF">
        <w:rPr>
          <w:rFonts w:ascii="Times New Roman" w:hAnsi="Times New Roman" w:cs="Times New Roman"/>
          <w:b/>
          <w:sz w:val="28"/>
          <w:szCs w:val="28"/>
        </w:rPr>
        <w:t xml:space="preserve"> подвели итоги работы за первое полугодие 2021 года</w:t>
      </w:r>
    </w:p>
    <w:p w:rsidR="00BD54DF" w:rsidRPr="00BD54DF" w:rsidRDefault="00BD54DF" w:rsidP="00BD54DF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Росреестром подведены итоги работы ведомства за первое полугодие 2021 года и рассмотрены итоги реализации о</w:t>
      </w:r>
      <w:r w:rsidRPr="00BD54DF">
        <w:rPr>
          <w:rFonts w:ascii="Times New Roman" w:eastAsia="Times New Roman" w:hAnsi="Times New Roman" w:cs="Times New Roman"/>
          <w:sz w:val="28"/>
          <w:szCs w:val="28"/>
        </w:rPr>
        <w:t>сновных стратегических направлений развития ведомства.</w:t>
      </w:r>
    </w:p>
    <w:p w:rsidR="00BD54DF" w:rsidRPr="00BD54DF" w:rsidRDefault="00BD54DF" w:rsidP="00BD54DF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Цифровая трансформация Росреестра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За прошедший период количество электронных пакетов, поступивших в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>, увеличилось почти в 2 раза.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В проекте «Электронная регистрация за один день» в 2020 году участвовало 4 региона, сейчас в нем задействованы 72 субъекта.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Благодаря организованной работе по переводу рынка ипотеки в цифровой формат количество таких сделок в Волгоградской области увеличилось до 39%, что более чем в 2,5 раза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56%.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С февраля 2021 года механизм подачи документов по заработал во всех субъектах России. В Волгоградской области экстерриториальный принцип подачи документов осуществляется во всех офисах МФЦ.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До конца 2021 года планируется завершить проект «Стоп-бумага», </w:t>
      </w:r>
      <w:r w:rsidRPr="00BD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предполагающий переход на безбумажный документооборот.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Внесены изменения в действующее законодательство в части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исключения необходимости создания новых бумажных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реестровых дел. Продолжается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оцифровка архивов – в Волгоградской области </w:t>
      </w:r>
      <w:r w:rsidRPr="00BD54DF">
        <w:rPr>
          <w:rFonts w:ascii="Times New Roman" w:hAnsi="Times New Roman" w:cs="Times New Roman"/>
          <w:iCs/>
          <w:sz w:val="28"/>
          <w:szCs w:val="28"/>
        </w:rPr>
        <w:t>переведено в электронный вид 1 972 707 из 5 419 989 дел.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Законодательная деятельность: в приоритете интересы клиента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З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а последние полтора года по инициативе Росреестра приняты 13 социально-значимых федеральных законов в сфере земли и недвижимости (</w:t>
      </w:r>
      <w:r w:rsidRPr="00BD54DF">
        <w:rPr>
          <w:rFonts w:ascii="Times New Roman" w:hAnsi="Times New Roman" w:cs="Times New Roman"/>
          <w:b/>
          <w:color w:val="000000"/>
          <w:sz w:val="28"/>
          <w:szCs w:val="28"/>
        </w:rPr>
        <w:t>см. карусель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D5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Наполнение сведениями ЕГРН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С марта 2020 года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 xml:space="preserve"> реализует комплексный план 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по наполнению ЕГРН необходимыми сведениями об объектах недвижимости. 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t>По состоянию на 1 июля 2021 года Управлением Росреестра по Волгоградской области в ЕГРН внесено 20% границ между субъектами РФ – Волгоградской и Воронежской областями при общем их количестве 5 (за аналогичный период 2020 года – 0), границ муниципальных образований – 469 ед. при общем их количестве 472 ед. (за аналогичный период 2020 – 469), границ населенных пунктов – 80 ед. из 1494 (за аналогичный период 2020 – 57 ед.).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настоящее время в ЕГРН содержится 24% объектов недвижимости, в отношении которых не зарегистрированы права собственности (кроме многоквартирных домов, п</w:t>
      </w:r>
      <w:r w:rsidRPr="00BD54DF">
        <w:rPr>
          <w:rFonts w:ascii="Times New Roman" w:hAnsi="Times New Roman" w:cs="Times New Roman"/>
          <w:color w:val="000000" w:themeColor="text1"/>
          <w:sz w:val="28"/>
          <w:szCs w:val="28"/>
        </w:rPr>
        <w:t>раво собственности на которые не регистрируется в соответствии с действующим законодательством)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исправленных в ЕГРН реестровых ошибок на 1 июля 2021 года составило 540033. Установлено 71,02% связей объектов капитального строительства с земельными участками, на которых они расположены. В рамках реализации закона о «лесной амнистии» из ЕГРН исключены дублирующие сведения о 109 лесных участках.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информационный ресурс о земле и недвижимости</w:t>
      </w:r>
    </w:p>
    <w:p w:rsidR="00BD54DF" w:rsidRPr="00BD54DF" w:rsidRDefault="00BD54DF" w:rsidP="00BD54DF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Соглашения о взаимодействии между Росреестром и Администрацией Волгоградской области в рамках реализации проекта «Земля для стройки». </w:t>
      </w:r>
    </w:p>
    <w:p w:rsidR="00BD54DF" w:rsidRPr="00BD54DF" w:rsidRDefault="00BD54DF" w:rsidP="00BD54DF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На сегодня в регионе выявлен 31 участок, площадью 560,4 га, для последующего размещения 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недвижимости.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BD54DF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BD5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30</cp:revision>
  <cp:lastPrinted>2021-04-26T13:06:00Z</cp:lastPrinted>
  <dcterms:created xsi:type="dcterms:W3CDTF">2021-04-28T12:46:00Z</dcterms:created>
  <dcterms:modified xsi:type="dcterms:W3CDTF">2021-08-13T06:46:00Z</dcterms:modified>
</cp:coreProperties>
</file>